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广东省地方金融监督管理局典当行行政处罚裁量标准</w:t>
      </w:r>
    </w:p>
    <w:p>
      <w:pPr>
        <w:spacing w:line="720" w:lineRule="exact"/>
        <w:jc w:val="left"/>
        <w:rPr>
          <w:rFonts w:hint="eastAsia" w:ascii="宋体" w:hAnsi="宋体" w:eastAsia="宋体" w:cs="宋体"/>
          <w:sz w:val="24"/>
          <w:szCs w:val="24"/>
        </w:rPr>
      </w:pPr>
      <w:r>
        <w:rPr>
          <w:rFonts w:hint="eastAsia" w:ascii="宋体" w:hAnsi="宋体" w:eastAsia="宋体" w:cs="宋体"/>
          <w:sz w:val="24"/>
          <w:szCs w:val="24"/>
        </w:rPr>
        <w:t>实施主体：</w:t>
      </w:r>
      <w:r>
        <w:rPr>
          <w:rFonts w:hint="eastAsia" w:ascii="宋体" w:hAnsi="宋体" w:eastAsia="宋体" w:cs="宋体"/>
          <w:sz w:val="24"/>
          <w:szCs w:val="24"/>
          <w:u w:val="none"/>
        </w:rPr>
        <w:t>广东省地方金融监督管理局</w:t>
      </w:r>
    </w:p>
    <w:tbl>
      <w:tblPr>
        <w:tblStyle w:val="21"/>
        <w:tblW w:w="14000" w:type="dxa"/>
        <w:jc w:val="center"/>
        <w:tblInd w:w="-5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962"/>
        <w:gridCol w:w="4709"/>
        <w:gridCol w:w="1225"/>
        <w:gridCol w:w="776"/>
        <w:gridCol w:w="995"/>
        <w:gridCol w:w="273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7" w:type="dxa"/>
            <w:vAlign w:val="center"/>
          </w:tcPr>
          <w:p>
            <w:pPr>
              <w:jc w:val="center"/>
              <w:rPr>
                <w:rFonts w:hint="eastAsia" w:ascii="仿宋" w:hAnsi="仿宋" w:eastAsia="仿宋" w:cs="仿宋"/>
                <w:sz w:val="28"/>
                <w:szCs w:val="28"/>
              </w:rPr>
            </w:pPr>
            <w:r>
              <w:rPr>
                <w:rFonts w:hint="eastAsia" w:ascii="黑体" w:hAnsi="黑体" w:eastAsia="黑体" w:cs="黑体"/>
                <w:sz w:val="24"/>
              </w:rPr>
              <w:t>序号</w:t>
            </w:r>
          </w:p>
        </w:tc>
        <w:tc>
          <w:tcPr>
            <w:tcW w:w="1962" w:type="dxa"/>
            <w:vAlign w:val="center"/>
          </w:tcPr>
          <w:p>
            <w:pPr>
              <w:jc w:val="center"/>
              <w:rPr>
                <w:rFonts w:hint="eastAsia" w:ascii="黑体" w:hAnsi="黑体" w:eastAsia="黑体" w:cs="黑体"/>
                <w:sz w:val="24"/>
              </w:rPr>
            </w:pPr>
            <w:r>
              <w:rPr>
                <w:rFonts w:hint="eastAsia" w:ascii="黑体" w:hAnsi="黑体" w:eastAsia="黑体" w:cs="黑体"/>
                <w:sz w:val="24"/>
              </w:rPr>
              <w:t>行政处罚项目</w:t>
            </w:r>
          </w:p>
        </w:tc>
        <w:tc>
          <w:tcPr>
            <w:tcW w:w="4709" w:type="dxa"/>
            <w:vAlign w:val="center"/>
          </w:tcPr>
          <w:p>
            <w:pPr>
              <w:jc w:val="center"/>
              <w:rPr>
                <w:rFonts w:hint="eastAsia" w:ascii="仿宋" w:hAnsi="仿宋" w:eastAsia="仿宋" w:cs="仿宋"/>
                <w:sz w:val="28"/>
                <w:szCs w:val="28"/>
              </w:rPr>
            </w:pPr>
            <w:r>
              <w:rPr>
                <w:rFonts w:hint="eastAsia" w:ascii="黑体" w:hAnsi="黑体" w:eastAsia="黑体" w:cs="黑体"/>
                <w:sz w:val="24"/>
              </w:rPr>
              <w:t>违反条款</w:t>
            </w:r>
          </w:p>
        </w:tc>
        <w:tc>
          <w:tcPr>
            <w:tcW w:w="1225" w:type="dxa"/>
            <w:vAlign w:val="center"/>
          </w:tcPr>
          <w:p>
            <w:pPr>
              <w:jc w:val="center"/>
              <w:rPr>
                <w:rFonts w:hint="eastAsia" w:ascii="仿宋" w:hAnsi="仿宋" w:eastAsia="仿宋" w:cs="仿宋"/>
                <w:sz w:val="28"/>
                <w:szCs w:val="28"/>
              </w:rPr>
            </w:pPr>
            <w:r>
              <w:rPr>
                <w:rFonts w:hint="eastAsia" w:ascii="黑体" w:hAnsi="黑体" w:eastAsia="黑体" w:cs="黑体"/>
                <w:sz w:val="24"/>
              </w:rPr>
              <w:t>处罚依据</w:t>
            </w:r>
          </w:p>
        </w:tc>
        <w:tc>
          <w:tcPr>
            <w:tcW w:w="776" w:type="dxa"/>
            <w:vAlign w:val="center"/>
          </w:tcPr>
          <w:p>
            <w:pPr>
              <w:jc w:val="center"/>
              <w:rPr>
                <w:rFonts w:hint="eastAsia" w:ascii="仿宋" w:hAnsi="仿宋" w:eastAsia="仿宋" w:cs="仿宋"/>
                <w:sz w:val="28"/>
                <w:szCs w:val="28"/>
              </w:rPr>
            </w:pPr>
            <w:r>
              <w:rPr>
                <w:rFonts w:hint="eastAsia" w:ascii="黑体" w:hAnsi="黑体" w:eastAsia="黑体" w:cs="黑体"/>
                <w:sz w:val="24"/>
              </w:rPr>
              <w:t>处罚  种类</w:t>
            </w:r>
          </w:p>
        </w:tc>
        <w:tc>
          <w:tcPr>
            <w:tcW w:w="995" w:type="dxa"/>
            <w:vAlign w:val="center"/>
          </w:tcPr>
          <w:p>
            <w:pPr>
              <w:jc w:val="center"/>
              <w:rPr>
                <w:rFonts w:hint="eastAsia" w:ascii="黑体" w:hAnsi="黑体" w:eastAsia="黑体" w:cs="黑体"/>
                <w:sz w:val="24"/>
              </w:rPr>
            </w:pPr>
            <w:r>
              <w:rPr>
                <w:rFonts w:hint="eastAsia" w:ascii="黑体" w:hAnsi="黑体" w:eastAsia="黑体" w:cs="黑体"/>
                <w:sz w:val="24"/>
              </w:rPr>
              <w:t>裁量</w:t>
            </w:r>
          </w:p>
          <w:p>
            <w:pPr>
              <w:jc w:val="center"/>
              <w:rPr>
                <w:rFonts w:hint="eastAsia" w:ascii="仿宋" w:hAnsi="仿宋" w:eastAsia="仿宋" w:cs="仿宋"/>
                <w:sz w:val="28"/>
                <w:szCs w:val="28"/>
              </w:rPr>
            </w:pPr>
            <w:r>
              <w:rPr>
                <w:rFonts w:hint="eastAsia" w:ascii="黑体" w:hAnsi="黑体" w:eastAsia="黑体" w:cs="黑体"/>
                <w:sz w:val="24"/>
              </w:rPr>
              <w:t>档次</w:t>
            </w:r>
          </w:p>
        </w:tc>
        <w:tc>
          <w:tcPr>
            <w:tcW w:w="2731" w:type="dxa"/>
            <w:vAlign w:val="center"/>
          </w:tcPr>
          <w:p>
            <w:pPr>
              <w:jc w:val="center"/>
              <w:rPr>
                <w:rFonts w:hint="eastAsia" w:ascii="仿宋" w:hAnsi="仿宋" w:eastAsia="仿宋" w:cs="仿宋"/>
                <w:sz w:val="28"/>
                <w:szCs w:val="28"/>
              </w:rPr>
            </w:pPr>
            <w:r>
              <w:rPr>
                <w:rFonts w:hint="eastAsia" w:ascii="黑体" w:hAnsi="黑体" w:eastAsia="黑体" w:cs="黑体"/>
                <w:sz w:val="24"/>
              </w:rPr>
              <w:t>裁量标准</w:t>
            </w:r>
          </w:p>
        </w:tc>
        <w:tc>
          <w:tcPr>
            <w:tcW w:w="825" w:type="dxa"/>
            <w:vAlign w:val="center"/>
          </w:tcPr>
          <w:p>
            <w:pPr>
              <w:jc w:val="center"/>
              <w:rPr>
                <w:rFonts w:hint="eastAsia" w:ascii="黑体" w:hAnsi="黑体" w:eastAsia="黑体" w:cs="黑体"/>
                <w:sz w:val="24"/>
              </w:rPr>
            </w:pPr>
            <w:r>
              <w:rPr>
                <w:rFonts w:hint="eastAsia" w:ascii="黑体" w:hAnsi="黑体" w:eastAsia="黑体" w:cs="黑体"/>
                <w:sz w:val="24"/>
              </w:rPr>
              <w:t>实施 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77" w:type="dxa"/>
            <w:vMerge w:val="restart"/>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962"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典当行从商业银行以外的单位和个人借款；</w:t>
            </w:r>
          </w:p>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与其他典当行拆借或者变相拆借资金；</w:t>
            </w:r>
          </w:p>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超过规定限额从商业银行贷款；</w:t>
            </w:r>
          </w:p>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贷款余额超过注册资本或所有者权益，或从本市以外商业银行贷款，或分支机构从商业银行贷款；</w:t>
            </w:r>
          </w:p>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对同一法人或者自然人的典当余额超过注册资本法定比例；</w:t>
            </w:r>
          </w:p>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财产权利质押以及房地产抵押典当余额未依法按规定比例进行管理</w:t>
            </w:r>
          </w:p>
        </w:tc>
        <w:tc>
          <w:tcPr>
            <w:tcW w:w="4709" w:type="dxa"/>
            <w:vMerge w:val="restart"/>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hAnsi="宋体" w:eastAsia="宋体"/>
                <w:bCs/>
                <w:sz w:val="16"/>
                <w:szCs w:val="16"/>
              </w:rPr>
            </w:pPr>
            <w:r>
              <w:rPr>
                <w:rFonts w:hint="eastAsia" w:ascii="宋体" w:hAnsi="宋体" w:eastAsia="宋体"/>
                <w:bCs/>
                <w:sz w:val="16"/>
                <w:szCs w:val="16"/>
              </w:rPr>
              <w:t>第六十条：典当行违反本办法第二十八条第（一）、（二）、（三）项或者第四十四条第（一）、（二）、（五）项规定的，由省级商务主管部门责令改正，并处5000元以上3万元以下罚款；构成犯罪的，依法追究刑事责任。</w:t>
            </w:r>
          </w:p>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hAnsi="宋体" w:eastAsia="宋体"/>
                <w:bCs/>
                <w:sz w:val="16"/>
                <w:szCs w:val="16"/>
              </w:rPr>
            </w:pPr>
            <w:r>
              <w:rPr>
                <w:rFonts w:hint="eastAsia" w:ascii="宋体" w:hAnsi="宋体" w:eastAsia="宋体"/>
                <w:bCs/>
                <w:sz w:val="16"/>
                <w:szCs w:val="16"/>
              </w:rPr>
              <w:t>第二十八条：典当行不得有下列行为：（一）从商业银行以外的单位和个人借款；（二）与其他典当行拆借或者变相拆借资金；（三）超过规定限额从商业银行贷款；</w:t>
            </w:r>
          </w:p>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1"/>
                <w:szCs w:val="21"/>
              </w:rPr>
            </w:pPr>
            <w:r>
              <w:rPr>
                <w:rFonts w:hint="eastAsia" w:ascii="宋体" w:hAnsi="宋体" w:eastAsia="宋体"/>
                <w:bCs/>
                <w:sz w:val="16"/>
                <w:szCs w:val="16"/>
              </w:rPr>
              <w:t>第四十四条：典当行的资产应当按照下列比例进行管理：（一）典当行自初始营业起至第一次向省级商务主管部门及所在地商务主管部门报送年度财务会计报告的时期内从商业银行贷款的，贷款余额不得超过其注册资本。典当行第一次向省级商务主管部门及所在地商务主管部门报送财务会计报告之后从商业银行贷款的，贷款余额不得超过上一年度向主管部门报送的财务会计报告中的所有者权益。典当行不得从本市（地、州、盟）以外的商业银行贷款。典当行分支机构不得从商业银行贷款。（二）典当行对同一法人或者自然人的典当余额不得超过注册资本的25％。（五）典当行财产权利质押典当余额不得超过注册资本的50%。房地产抵押典当余额不得超过注册资本。注册资本不足1000万元的，房地产抵押典当单笔当金数额不得超过100万元。注册资本在1000万元以上的，房地产抵押典当单笔当金数额不得超过注册资本的10%。</w:t>
            </w:r>
          </w:p>
        </w:tc>
        <w:tc>
          <w:tcPr>
            <w:tcW w:w="1225"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1"/>
                <w:szCs w:val="21"/>
              </w:rPr>
            </w:pPr>
            <w:r>
              <w:rPr>
                <w:rFonts w:hint="eastAsia" w:ascii="宋体" w:hAnsi="宋体" w:eastAsia="宋体"/>
                <w:bCs/>
                <w:sz w:val="16"/>
                <w:szCs w:val="16"/>
              </w:rPr>
              <w:t>《典当管理办法》（2005年商务部、公安部令第8号）</w:t>
            </w:r>
          </w:p>
        </w:tc>
        <w:tc>
          <w:tcPr>
            <w:tcW w:w="776" w:type="dxa"/>
            <w:vMerge w:val="restart"/>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i w:val="0"/>
                <w:caps w:val="0"/>
                <w:color w:val="333333"/>
                <w:spacing w:val="0"/>
                <w:sz w:val="21"/>
                <w:szCs w:val="21"/>
                <w:shd w:val="clear" w:color="auto" w:fill="FFFFFF"/>
                <w:lang w:eastAsia="zh-CN"/>
              </w:rPr>
            </w:pPr>
            <w:r>
              <w:rPr>
                <w:rFonts w:hint="eastAsia" w:ascii="宋体" w:hAnsi="宋体" w:eastAsia="宋体" w:cs="宋体"/>
                <w:i w:val="0"/>
                <w:caps w:val="0"/>
                <w:color w:val="333333"/>
                <w:spacing w:val="0"/>
                <w:sz w:val="16"/>
                <w:szCs w:val="16"/>
                <w:shd w:val="clear" w:color="auto" w:fill="FFFFFF"/>
              </w:rPr>
              <w:t>罚款</w:t>
            </w:r>
          </w:p>
        </w:tc>
        <w:tc>
          <w:tcPr>
            <w:tcW w:w="9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6"/>
                <w:szCs w:val="16"/>
              </w:rPr>
            </w:pPr>
            <w:r>
              <w:rPr>
                <w:rFonts w:hint="eastAsia" w:ascii="宋体" w:hAnsi="宋体" w:eastAsia="宋体" w:cs="宋体"/>
                <w:sz w:val="16"/>
                <w:szCs w:val="16"/>
              </w:rPr>
              <w:t>从轻</w:t>
            </w:r>
          </w:p>
        </w:tc>
        <w:tc>
          <w:tcPr>
            <w:tcW w:w="2731" w:type="dxa"/>
            <w:vAlign w:val="top"/>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r>
              <w:rPr>
                <w:rFonts w:hint="eastAsia" w:ascii="宋体" w:hAnsi="宋体" w:eastAsia="宋体"/>
                <w:sz w:val="16"/>
                <w:szCs w:val="16"/>
              </w:rPr>
              <w:t>责令改正，并处5000元以上</w:t>
            </w:r>
            <w:r>
              <w:rPr>
                <w:rFonts w:ascii="宋体" w:hAnsi="宋体" w:eastAsia="宋体"/>
                <w:sz w:val="16"/>
                <w:szCs w:val="16"/>
              </w:rPr>
              <w:t>1.25</w:t>
            </w:r>
            <w:r>
              <w:rPr>
                <w:rFonts w:hint="eastAsia" w:ascii="宋体" w:hAnsi="宋体" w:eastAsia="宋体"/>
                <w:sz w:val="16"/>
                <w:szCs w:val="16"/>
              </w:rPr>
              <w:t>万元以下罚款</w:t>
            </w:r>
          </w:p>
        </w:tc>
        <w:tc>
          <w:tcPr>
            <w:tcW w:w="82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8"/>
                <w:szCs w:val="28"/>
                <w:lang w:eastAsia="zh-CN"/>
              </w:rPr>
            </w:pPr>
            <w:r>
              <w:rPr>
                <w:rFonts w:hint="eastAsia" w:ascii="宋体" w:hAnsi="宋体" w:eastAsia="宋体" w:cs="宋体"/>
                <w:sz w:val="16"/>
                <w:szCs w:val="16"/>
                <w:lang w:eastAsia="zh-CN"/>
              </w:rPr>
              <w:t>广东省地方金融监督管理局及其委托授权机构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77" w:type="dxa"/>
            <w:vMerge w:val="continue"/>
            <w:vAlign w:val="top"/>
          </w:tcPr>
          <w:p>
            <w:pPr>
              <w:jc w:val="center"/>
              <w:rPr>
                <w:rFonts w:hint="eastAsia" w:ascii="宋体" w:hAnsi="宋体" w:eastAsia="宋体" w:cs="宋体"/>
                <w:sz w:val="28"/>
                <w:szCs w:val="28"/>
              </w:rPr>
            </w:pPr>
          </w:p>
        </w:tc>
        <w:tc>
          <w:tcPr>
            <w:tcW w:w="1962" w:type="dxa"/>
            <w:vMerge w:val="continue"/>
            <w:vAlign w:val="top"/>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4709" w:type="dxa"/>
            <w:vMerge w:val="continue"/>
            <w:vAlign w:val="top"/>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1225" w:type="dxa"/>
            <w:vMerge w:val="continue"/>
            <w:vAlign w:val="top"/>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776" w:type="dxa"/>
            <w:vMerge w:val="continue"/>
            <w:vAlign w:val="top"/>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9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6"/>
                <w:szCs w:val="16"/>
                <w:lang w:eastAsia="zh-CN"/>
              </w:rPr>
            </w:pPr>
            <w:r>
              <w:rPr>
                <w:rFonts w:hint="eastAsia" w:ascii="宋体" w:hAnsi="宋体" w:eastAsia="宋体" w:cs="宋体"/>
                <w:sz w:val="16"/>
                <w:szCs w:val="16"/>
                <w:lang w:eastAsia="zh-CN"/>
              </w:rPr>
              <w:t>一般</w:t>
            </w:r>
          </w:p>
        </w:tc>
        <w:tc>
          <w:tcPr>
            <w:tcW w:w="2731" w:type="dxa"/>
            <w:vAlign w:val="top"/>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r>
              <w:rPr>
                <w:rFonts w:hint="eastAsia" w:ascii="宋体" w:hAnsi="宋体" w:eastAsia="宋体"/>
                <w:sz w:val="16"/>
                <w:szCs w:val="16"/>
              </w:rPr>
              <w:t>责令改正，并处</w:t>
            </w:r>
            <w:r>
              <w:rPr>
                <w:rFonts w:ascii="宋体" w:hAnsi="宋体" w:eastAsia="宋体"/>
                <w:sz w:val="16"/>
                <w:szCs w:val="16"/>
              </w:rPr>
              <w:t>1.25</w:t>
            </w:r>
            <w:r>
              <w:rPr>
                <w:rFonts w:hint="eastAsia" w:ascii="宋体" w:hAnsi="宋体" w:eastAsia="宋体"/>
                <w:sz w:val="16"/>
                <w:szCs w:val="16"/>
              </w:rPr>
              <w:t>万元以上</w:t>
            </w:r>
            <w:r>
              <w:rPr>
                <w:rFonts w:ascii="宋体" w:hAnsi="宋体" w:eastAsia="宋体"/>
                <w:sz w:val="16"/>
                <w:szCs w:val="16"/>
              </w:rPr>
              <w:t>2.25</w:t>
            </w:r>
            <w:r>
              <w:rPr>
                <w:rFonts w:hint="eastAsia" w:ascii="宋体" w:hAnsi="宋体" w:eastAsia="宋体"/>
                <w:sz w:val="16"/>
                <w:szCs w:val="16"/>
              </w:rPr>
              <w:t>万元以下罚款</w:t>
            </w:r>
          </w:p>
        </w:tc>
        <w:tc>
          <w:tcPr>
            <w:tcW w:w="825" w:type="dxa"/>
            <w:vMerge w:val="continue"/>
            <w:vAlign w:val="top"/>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8" w:hRule="atLeast"/>
          <w:jc w:val="center"/>
        </w:trPr>
        <w:tc>
          <w:tcPr>
            <w:tcW w:w="777" w:type="dxa"/>
            <w:vMerge w:val="continue"/>
            <w:vAlign w:val="center"/>
          </w:tcPr>
          <w:p>
            <w:pPr>
              <w:jc w:val="center"/>
              <w:rPr>
                <w:rFonts w:hint="eastAsia" w:ascii="宋体" w:hAnsi="宋体" w:eastAsia="宋体" w:cs="宋体"/>
                <w:sz w:val="28"/>
                <w:szCs w:val="28"/>
              </w:rPr>
            </w:pPr>
          </w:p>
        </w:tc>
        <w:tc>
          <w:tcPr>
            <w:tcW w:w="1962"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4709"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1225"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776" w:type="dxa"/>
            <w:vMerge w:val="continue"/>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28"/>
                <w:szCs w:val="28"/>
              </w:rPr>
            </w:pPr>
          </w:p>
        </w:tc>
        <w:tc>
          <w:tcPr>
            <w:tcW w:w="995"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6"/>
                <w:szCs w:val="16"/>
              </w:rPr>
            </w:pPr>
            <w:r>
              <w:rPr>
                <w:rFonts w:hint="eastAsia" w:ascii="宋体" w:hAnsi="宋体" w:eastAsia="宋体" w:cs="宋体"/>
                <w:sz w:val="16"/>
                <w:szCs w:val="16"/>
              </w:rPr>
              <w:t>从重</w:t>
            </w:r>
          </w:p>
        </w:tc>
        <w:tc>
          <w:tcPr>
            <w:tcW w:w="2731" w:type="dxa"/>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13"/>
                <w:szCs w:val="13"/>
              </w:rPr>
            </w:pPr>
            <w:r>
              <w:rPr>
                <w:rFonts w:hint="eastAsia" w:ascii="宋体" w:hAnsi="宋体" w:eastAsia="宋体"/>
                <w:sz w:val="16"/>
                <w:szCs w:val="16"/>
              </w:rPr>
              <w:t>责令改正，并处</w:t>
            </w:r>
            <w:r>
              <w:rPr>
                <w:rFonts w:ascii="宋体" w:hAnsi="宋体" w:eastAsia="宋体"/>
                <w:sz w:val="16"/>
                <w:szCs w:val="16"/>
              </w:rPr>
              <w:t>2.25</w:t>
            </w:r>
            <w:r>
              <w:rPr>
                <w:rFonts w:hint="eastAsia" w:ascii="宋体" w:hAnsi="宋体" w:eastAsia="宋体"/>
                <w:sz w:val="16"/>
                <w:szCs w:val="16"/>
              </w:rPr>
              <w:t>万元以上3万元以下罚款</w:t>
            </w:r>
          </w:p>
        </w:tc>
        <w:tc>
          <w:tcPr>
            <w:tcW w:w="825" w:type="dxa"/>
            <w:vMerge w:val="continue"/>
            <w:vAlign w:val="top"/>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77" w:type="dxa"/>
            <w:vMerge w:val="restart"/>
            <w:vAlign w:val="center"/>
          </w:tcPr>
          <w:p>
            <w:pPr>
              <w:jc w:val="center"/>
              <w:rPr>
                <w:rFonts w:hint="eastAsia" w:ascii="仿宋" w:hAnsi="仿宋" w:eastAsia="仿宋" w:cs="仿宋"/>
                <w:sz w:val="18"/>
                <w:szCs w:val="18"/>
              </w:rPr>
            </w:pPr>
            <w:r>
              <w:rPr>
                <w:rFonts w:hint="eastAsia" w:ascii="宋体" w:hAnsi="宋体" w:eastAsia="宋体" w:cs="宋体"/>
                <w:sz w:val="24"/>
              </w:rPr>
              <w:t>2</w:t>
            </w:r>
          </w:p>
        </w:tc>
        <w:tc>
          <w:tcPr>
            <w:tcW w:w="1962"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典当行未按中国人民银行公布的银行机构6个月期法定贷款利率及典当期限折算后执行典当当金利率；</w:t>
            </w:r>
          </w:p>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宋体" w:hAnsi="宋体" w:eastAsia="宋体"/>
                <w:b/>
                <w:sz w:val="16"/>
                <w:szCs w:val="16"/>
              </w:rPr>
            </w:pPr>
            <w:r>
              <w:rPr>
                <w:rFonts w:hint="eastAsia" w:ascii="宋体" w:hAnsi="宋体" w:eastAsia="宋体"/>
                <w:b/>
                <w:sz w:val="16"/>
                <w:szCs w:val="16"/>
              </w:rPr>
              <w:t>典当综合费用超过规定费率</w:t>
            </w:r>
          </w:p>
        </w:tc>
        <w:tc>
          <w:tcPr>
            <w:tcW w:w="4709"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outlineLvl w:val="9"/>
              <w:rPr>
                <w:rFonts w:ascii="宋体" w:hAnsi="宋体" w:eastAsia="宋体"/>
                <w:bCs/>
                <w:sz w:val="16"/>
                <w:szCs w:val="16"/>
              </w:rPr>
            </w:pPr>
            <w:r>
              <w:rPr>
                <w:rFonts w:hint="eastAsia" w:ascii="宋体" w:hAnsi="宋体" w:eastAsia="宋体"/>
                <w:bCs/>
                <w:sz w:val="16"/>
                <w:szCs w:val="16"/>
              </w:rPr>
              <w:t>第六十一条：典当行违反本办法第三十七条第一款或者第三十八条第二、三、四款规定的，由省级商务主管部门责令改正，并处5000元以上3万元以下罚款；构成犯罪的，依法追究刑事责任。</w:t>
            </w:r>
          </w:p>
          <w:p>
            <w:pPr>
              <w:keepNext w:val="0"/>
              <w:keepLines w:val="0"/>
              <w:pageBreakBefore w:val="0"/>
              <w:kinsoku/>
              <w:wordWrap/>
              <w:overflowPunct/>
              <w:topLinePunct w:val="0"/>
              <w:autoSpaceDE/>
              <w:autoSpaceDN/>
              <w:bidi w:val="0"/>
              <w:adjustRightInd/>
              <w:snapToGrid/>
              <w:spacing w:line="260" w:lineRule="exact"/>
              <w:textAlignment w:val="auto"/>
              <w:outlineLvl w:val="9"/>
              <w:rPr>
                <w:rFonts w:ascii="宋体" w:hAnsi="宋体" w:eastAsia="宋体"/>
                <w:bCs/>
                <w:sz w:val="16"/>
                <w:szCs w:val="16"/>
              </w:rPr>
            </w:pPr>
            <w:r>
              <w:rPr>
                <w:rFonts w:hint="eastAsia" w:ascii="宋体" w:hAnsi="宋体" w:eastAsia="宋体"/>
                <w:bCs/>
                <w:sz w:val="16"/>
                <w:szCs w:val="16"/>
              </w:rPr>
              <w:t>第三十七条第一款：典当当金利率，按中国人民银行公布的银行机构6个月期法定贷款利率及典当期限折算后执行。</w:t>
            </w:r>
          </w:p>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18"/>
                <w:szCs w:val="18"/>
              </w:rPr>
            </w:pPr>
            <w:r>
              <w:rPr>
                <w:rFonts w:hint="eastAsia" w:ascii="宋体" w:hAnsi="宋体" w:eastAsia="宋体"/>
                <w:bCs/>
                <w:sz w:val="16"/>
                <w:szCs w:val="16"/>
              </w:rPr>
              <w:t>第三十八条第二、三、四款：动产质押典当的月综合费率不得超过当金的42‰。房地产抵押典当的月综合费率不得超过当金的27‰。财产权利质押典当的月综合费率不得超过当金的24‰。</w:t>
            </w:r>
          </w:p>
        </w:tc>
        <w:tc>
          <w:tcPr>
            <w:tcW w:w="122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18"/>
                <w:szCs w:val="18"/>
              </w:rPr>
            </w:pPr>
            <w:r>
              <w:rPr>
                <w:rFonts w:hint="eastAsia" w:ascii="宋体" w:hAnsi="宋体" w:eastAsia="宋体"/>
                <w:bCs/>
                <w:sz w:val="16"/>
                <w:szCs w:val="16"/>
              </w:rPr>
              <w:t>《典当管理办法》（2005年商务部、公安部令第8号）</w:t>
            </w:r>
          </w:p>
        </w:tc>
        <w:tc>
          <w:tcPr>
            <w:tcW w:w="776"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rPr>
            </w:pPr>
            <w:r>
              <w:rPr>
                <w:rFonts w:hint="eastAsia" w:ascii="宋体" w:hAnsi="宋体" w:eastAsia="宋体" w:cs="宋体"/>
                <w:i w:val="0"/>
                <w:caps w:val="0"/>
                <w:color w:val="333333"/>
                <w:spacing w:val="0"/>
                <w:sz w:val="16"/>
                <w:szCs w:val="16"/>
                <w:shd w:val="clear" w:color="auto" w:fill="FFFFFF"/>
              </w:rPr>
              <w:t>罚款</w:t>
            </w:r>
          </w:p>
        </w:tc>
        <w:tc>
          <w:tcPr>
            <w:tcW w:w="99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sz w:val="16"/>
                <w:szCs w:val="16"/>
              </w:rPr>
            </w:pPr>
            <w:r>
              <w:rPr>
                <w:rFonts w:hint="eastAsia" w:ascii="宋体" w:hAnsi="宋体" w:eastAsia="宋体" w:cs="宋体"/>
                <w:sz w:val="16"/>
                <w:szCs w:val="16"/>
                <w:lang w:eastAsia="zh-CN"/>
              </w:rPr>
              <w:t>从</w:t>
            </w:r>
            <w:r>
              <w:rPr>
                <w:rFonts w:hint="eastAsia" w:ascii="宋体" w:hAnsi="宋体" w:eastAsia="宋体" w:cs="宋体"/>
                <w:sz w:val="16"/>
                <w:szCs w:val="16"/>
              </w:rPr>
              <w:t>轻</w:t>
            </w:r>
          </w:p>
        </w:tc>
        <w:tc>
          <w:tcPr>
            <w:tcW w:w="2731" w:type="dxa"/>
            <w:vAlign w:val="top"/>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8"/>
                <w:szCs w:val="28"/>
              </w:rPr>
            </w:pPr>
            <w:r>
              <w:rPr>
                <w:rFonts w:hint="eastAsia" w:ascii="宋体" w:hAnsi="宋体" w:eastAsia="宋体"/>
                <w:sz w:val="16"/>
                <w:szCs w:val="16"/>
              </w:rPr>
              <w:t>责令改正，并处5000元以上</w:t>
            </w:r>
            <w:r>
              <w:rPr>
                <w:rFonts w:ascii="宋体" w:hAnsi="宋体" w:eastAsia="宋体"/>
                <w:sz w:val="16"/>
                <w:szCs w:val="16"/>
              </w:rPr>
              <w:t>1.25</w:t>
            </w:r>
            <w:r>
              <w:rPr>
                <w:rFonts w:hint="eastAsia" w:ascii="宋体" w:hAnsi="宋体" w:eastAsia="宋体"/>
                <w:sz w:val="16"/>
                <w:szCs w:val="16"/>
              </w:rPr>
              <w:t>万元以下罚款</w:t>
            </w:r>
          </w:p>
        </w:tc>
        <w:tc>
          <w:tcPr>
            <w:tcW w:w="825"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8"/>
                <w:szCs w:val="28"/>
              </w:rPr>
            </w:pPr>
            <w:r>
              <w:rPr>
                <w:rFonts w:hint="eastAsia" w:ascii="宋体" w:hAnsi="宋体" w:eastAsia="宋体" w:cs="宋体"/>
                <w:sz w:val="16"/>
                <w:szCs w:val="16"/>
                <w:lang w:eastAsia="zh-CN"/>
              </w:rPr>
              <w:t>广东省地方金融监督管理局及其委托授权机构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777" w:type="dxa"/>
            <w:vMerge w:val="continue"/>
            <w:vAlign w:val="top"/>
          </w:tcPr>
          <w:p>
            <w:pPr>
              <w:jc w:val="center"/>
              <w:rPr>
                <w:rFonts w:hint="eastAsia" w:ascii="仿宋" w:hAnsi="仿宋" w:eastAsia="仿宋" w:cs="仿宋"/>
                <w:sz w:val="28"/>
                <w:szCs w:val="28"/>
              </w:rPr>
            </w:pPr>
          </w:p>
        </w:tc>
        <w:tc>
          <w:tcPr>
            <w:tcW w:w="1962" w:type="dxa"/>
            <w:vMerge w:val="continue"/>
            <w:vAlign w:val="top"/>
          </w:tcPr>
          <w:p>
            <w:pPr>
              <w:jc w:val="both"/>
              <w:rPr>
                <w:rFonts w:hint="eastAsia" w:ascii="仿宋" w:hAnsi="仿宋" w:eastAsia="仿宋" w:cs="仿宋"/>
                <w:sz w:val="28"/>
                <w:szCs w:val="28"/>
              </w:rPr>
            </w:pPr>
          </w:p>
        </w:tc>
        <w:tc>
          <w:tcPr>
            <w:tcW w:w="4709" w:type="dxa"/>
            <w:vMerge w:val="continue"/>
            <w:vAlign w:val="top"/>
          </w:tcPr>
          <w:p>
            <w:pPr>
              <w:jc w:val="both"/>
              <w:rPr>
                <w:rFonts w:hint="eastAsia" w:ascii="仿宋" w:hAnsi="仿宋" w:eastAsia="仿宋" w:cs="仿宋"/>
                <w:sz w:val="28"/>
                <w:szCs w:val="28"/>
              </w:rPr>
            </w:pPr>
          </w:p>
        </w:tc>
        <w:tc>
          <w:tcPr>
            <w:tcW w:w="1225" w:type="dxa"/>
            <w:vMerge w:val="continue"/>
            <w:vAlign w:val="top"/>
          </w:tcPr>
          <w:p>
            <w:pPr>
              <w:jc w:val="both"/>
              <w:rPr>
                <w:rFonts w:hint="eastAsia" w:ascii="仿宋" w:hAnsi="仿宋" w:eastAsia="仿宋" w:cs="仿宋"/>
                <w:sz w:val="28"/>
                <w:szCs w:val="28"/>
              </w:rPr>
            </w:pPr>
          </w:p>
        </w:tc>
        <w:tc>
          <w:tcPr>
            <w:tcW w:w="776" w:type="dxa"/>
            <w:vMerge w:val="continue"/>
            <w:vAlign w:val="top"/>
          </w:tcPr>
          <w:p>
            <w:pPr>
              <w:jc w:val="both"/>
              <w:rPr>
                <w:rFonts w:hint="eastAsia" w:ascii="仿宋" w:hAnsi="仿宋" w:eastAsia="仿宋" w:cs="仿宋"/>
                <w:sz w:val="28"/>
                <w:szCs w:val="28"/>
              </w:rPr>
            </w:pPr>
          </w:p>
        </w:tc>
        <w:tc>
          <w:tcPr>
            <w:tcW w:w="995" w:type="dxa"/>
            <w:vAlign w:val="center"/>
          </w:tcPr>
          <w:p>
            <w:pPr>
              <w:jc w:val="center"/>
              <w:rPr>
                <w:rFonts w:hint="eastAsia" w:ascii="宋体" w:hAnsi="宋体" w:eastAsia="宋体" w:cs="宋体"/>
                <w:sz w:val="16"/>
                <w:szCs w:val="16"/>
                <w:lang w:eastAsia="zh-CN"/>
              </w:rPr>
            </w:pPr>
            <w:r>
              <w:rPr>
                <w:rFonts w:hint="eastAsia" w:ascii="宋体" w:hAnsi="宋体" w:eastAsia="宋体" w:cs="宋体"/>
                <w:sz w:val="16"/>
                <w:szCs w:val="16"/>
                <w:lang w:eastAsia="zh-CN"/>
              </w:rPr>
              <w:t>一般</w:t>
            </w:r>
          </w:p>
        </w:tc>
        <w:tc>
          <w:tcPr>
            <w:tcW w:w="2731" w:type="dxa"/>
            <w:vAlign w:val="top"/>
          </w:tcPr>
          <w:p>
            <w:pPr>
              <w:jc w:val="both"/>
              <w:rPr>
                <w:rFonts w:hint="eastAsia" w:ascii="仿宋" w:hAnsi="仿宋" w:eastAsia="仿宋" w:cs="仿宋"/>
                <w:sz w:val="28"/>
                <w:szCs w:val="28"/>
              </w:rPr>
            </w:pPr>
            <w:r>
              <w:rPr>
                <w:rFonts w:hint="eastAsia" w:ascii="宋体" w:hAnsi="宋体" w:eastAsia="宋体"/>
                <w:sz w:val="16"/>
                <w:szCs w:val="16"/>
              </w:rPr>
              <w:t>责令改正，并处</w:t>
            </w:r>
            <w:r>
              <w:rPr>
                <w:rFonts w:ascii="宋体" w:hAnsi="宋体" w:eastAsia="宋体"/>
                <w:sz w:val="16"/>
                <w:szCs w:val="16"/>
              </w:rPr>
              <w:t>1.25</w:t>
            </w:r>
            <w:r>
              <w:rPr>
                <w:rFonts w:hint="eastAsia" w:ascii="宋体" w:hAnsi="宋体" w:eastAsia="宋体"/>
                <w:sz w:val="16"/>
                <w:szCs w:val="16"/>
              </w:rPr>
              <w:t>万元以上</w:t>
            </w:r>
            <w:r>
              <w:rPr>
                <w:rFonts w:ascii="宋体" w:hAnsi="宋体" w:eastAsia="宋体"/>
                <w:sz w:val="16"/>
                <w:szCs w:val="16"/>
              </w:rPr>
              <w:t>2.25</w:t>
            </w:r>
            <w:r>
              <w:rPr>
                <w:rFonts w:hint="eastAsia" w:ascii="宋体" w:hAnsi="宋体" w:eastAsia="宋体"/>
                <w:sz w:val="16"/>
                <w:szCs w:val="16"/>
              </w:rPr>
              <w:t>万元以下罚款</w:t>
            </w:r>
          </w:p>
        </w:tc>
        <w:tc>
          <w:tcPr>
            <w:tcW w:w="825" w:type="dxa"/>
            <w:vMerge w:val="continue"/>
            <w:vAlign w:val="top"/>
          </w:tcPr>
          <w:p>
            <w:pPr>
              <w:jc w:val="both"/>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jc w:val="center"/>
        </w:trPr>
        <w:tc>
          <w:tcPr>
            <w:tcW w:w="777" w:type="dxa"/>
            <w:vMerge w:val="continue"/>
            <w:vAlign w:val="center"/>
          </w:tcPr>
          <w:p>
            <w:pPr>
              <w:jc w:val="center"/>
              <w:rPr>
                <w:rFonts w:hint="eastAsia" w:ascii="仿宋" w:hAnsi="仿宋" w:eastAsia="仿宋" w:cs="仿宋"/>
                <w:sz w:val="28"/>
                <w:szCs w:val="28"/>
              </w:rPr>
            </w:pPr>
          </w:p>
        </w:tc>
        <w:tc>
          <w:tcPr>
            <w:tcW w:w="1962" w:type="dxa"/>
            <w:vMerge w:val="continue"/>
            <w:vAlign w:val="center"/>
          </w:tcPr>
          <w:p>
            <w:pPr>
              <w:jc w:val="both"/>
              <w:rPr>
                <w:rFonts w:hint="eastAsia" w:ascii="仿宋" w:hAnsi="仿宋" w:eastAsia="仿宋" w:cs="仿宋"/>
                <w:sz w:val="28"/>
                <w:szCs w:val="28"/>
              </w:rPr>
            </w:pPr>
          </w:p>
        </w:tc>
        <w:tc>
          <w:tcPr>
            <w:tcW w:w="4709" w:type="dxa"/>
            <w:vMerge w:val="continue"/>
            <w:vAlign w:val="center"/>
          </w:tcPr>
          <w:p>
            <w:pPr>
              <w:jc w:val="both"/>
              <w:rPr>
                <w:rFonts w:hint="eastAsia" w:ascii="仿宋" w:hAnsi="仿宋" w:eastAsia="仿宋" w:cs="仿宋"/>
                <w:sz w:val="28"/>
                <w:szCs w:val="28"/>
              </w:rPr>
            </w:pPr>
          </w:p>
        </w:tc>
        <w:tc>
          <w:tcPr>
            <w:tcW w:w="1225" w:type="dxa"/>
            <w:vMerge w:val="continue"/>
            <w:vAlign w:val="center"/>
          </w:tcPr>
          <w:p>
            <w:pPr>
              <w:jc w:val="both"/>
              <w:rPr>
                <w:rFonts w:hint="eastAsia" w:ascii="仿宋" w:hAnsi="仿宋" w:eastAsia="仿宋" w:cs="仿宋"/>
                <w:sz w:val="28"/>
                <w:szCs w:val="28"/>
              </w:rPr>
            </w:pPr>
          </w:p>
        </w:tc>
        <w:tc>
          <w:tcPr>
            <w:tcW w:w="776" w:type="dxa"/>
            <w:vMerge w:val="continue"/>
            <w:vAlign w:val="center"/>
          </w:tcPr>
          <w:p>
            <w:pPr>
              <w:jc w:val="both"/>
              <w:rPr>
                <w:rFonts w:hint="eastAsia" w:ascii="仿宋" w:hAnsi="仿宋" w:eastAsia="仿宋" w:cs="仿宋"/>
                <w:sz w:val="28"/>
                <w:szCs w:val="28"/>
              </w:rPr>
            </w:pPr>
          </w:p>
        </w:tc>
        <w:tc>
          <w:tcPr>
            <w:tcW w:w="995" w:type="dxa"/>
            <w:vAlign w:val="center"/>
          </w:tcPr>
          <w:p>
            <w:pPr>
              <w:jc w:val="center"/>
              <w:rPr>
                <w:rFonts w:hint="eastAsia" w:ascii="楷体" w:hAnsi="楷体" w:eastAsia="楷体" w:cs="楷体"/>
                <w:sz w:val="28"/>
                <w:szCs w:val="28"/>
              </w:rPr>
            </w:pPr>
            <w:r>
              <w:rPr>
                <w:rFonts w:hint="eastAsia" w:ascii="宋体" w:hAnsi="宋体" w:eastAsia="宋体" w:cs="宋体"/>
                <w:sz w:val="16"/>
                <w:szCs w:val="16"/>
              </w:rPr>
              <w:t>从重</w:t>
            </w:r>
          </w:p>
        </w:tc>
        <w:tc>
          <w:tcPr>
            <w:tcW w:w="2731" w:type="dxa"/>
            <w:vAlign w:val="center"/>
          </w:tcPr>
          <w:p>
            <w:pPr>
              <w:widowControl/>
              <w:jc w:val="both"/>
              <w:textAlignment w:val="center"/>
              <w:rPr>
                <w:rFonts w:hint="eastAsia" w:ascii="仿宋" w:hAnsi="仿宋" w:eastAsia="仿宋" w:cs="仿宋"/>
                <w:sz w:val="13"/>
                <w:szCs w:val="13"/>
              </w:rPr>
            </w:pPr>
            <w:r>
              <w:rPr>
                <w:rFonts w:hint="eastAsia" w:ascii="宋体" w:hAnsi="宋体" w:eastAsia="宋体"/>
                <w:sz w:val="16"/>
                <w:szCs w:val="16"/>
              </w:rPr>
              <w:t>责令改正，并处</w:t>
            </w:r>
            <w:r>
              <w:rPr>
                <w:rFonts w:ascii="宋体" w:hAnsi="宋体" w:eastAsia="宋体"/>
                <w:sz w:val="16"/>
                <w:szCs w:val="16"/>
              </w:rPr>
              <w:t>2.25</w:t>
            </w:r>
            <w:r>
              <w:rPr>
                <w:rFonts w:hint="eastAsia" w:ascii="宋体" w:hAnsi="宋体" w:eastAsia="宋体"/>
                <w:sz w:val="16"/>
                <w:szCs w:val="16"/>
              </w:rPr>
              <w:t>万元以上</w:t>
            </w:r>
            <w:r>
              <w:rPr>
                <w:rFonts w:ascii="宋体" w:hAnsi="宋体" w:eastAsia="宋体"/>
                <w:sz w:val="16"/>
                <w:szCs w:val="16"/>
              </w:rPr>
              <w:t>3</w:t>
            </w:r>
            <w:r>
              <w:rPr>
                <w:rFonts w:hint="eastAsia" w:ascii="宋体" w:hAnsi="宋体" w:eastAsia="宋体"/>
                <w:sz w:val="16"/>
                <w:szCs w:val="16"/>
              </w:rPr>
              <w:t>万元以下罚款</w:t>
            </w:r>
          </w:p>
        </w:tc>
        <w:tc>
          <w:tcPr>
            <w:tcW w:w="825" w:type="dxa"/>
            <w:vMerge w:val="continue"/>
            <w:vAlign w:val="top"/>
          </w:tcPr>
          <w:p>
            <w:pPr>
              <w:jc w:val="both"/>
              <w:rPr>
                <w:rFonts w:hint="eastAsia" w:ascii="仿宋" w:hAnsi="仿宋" w:eastAsia="仿宋" w:cs="仿宋"/>
                <w:sz w:val="28"/>
                <w:szCs w:val="28"/>
              </w:rPr>
            </w:pPr>
          </w:p>
        </w:tc>
      </w:tr>
    </w:tbl>
    <w:p/>
    <w:p>
      <w:pPr>
        <w:numPr>
          <w:ilvl w:val="0"/>
          <w:numId w:val="0"/>
        </w:numPr>
        <w:spacing w:line="620" w:lineRule="exact"/>
        <w:ind w:leftChars="712"/>
        <w:rPr>
          <w:rFonts w:hint="default" w:ascii="仿宋_GB2312" w:hAnsi="微软雅黑" w:eastAsia="仿宋_GB2312"/>
          <w:color w:val="42424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320" w:firstLineChars="100"/>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6838" w:h="11906" w:orient="landscape"/>
      <w:pgMar w:top="1440" w:right="1440" w:bottom="1440" w:left="1440"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彩虹粗仿宋">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02E2D"/>
    <w:rsid w:val="00210A52"/>
    <w:rsid w:val="007E345C"/>
    <w:rsid w:val="012F174A"/>
    <w:rsid w:val="0152393C"/>
    <w:rsid w:val="017441A9"/>
    <w:rsid w:val="01EC19BA"/>
    <w:rsid w:val="021A4AFA"/>
    <w:rsid w:val="02973B47"/>
    <w:rsid w:val="036D2BEF"/>
    <w:rsid w:val="038D7DF3"/>
    <w:rsid w:val="038E2421"/>
    <w:rsid w:val="038E54C7"/>
    <w:rsid w:val="043D14D5"/>
    <w:rsid w:val="04421C47"/>
    <w:rsid w:val="049E462B"/>
    <w:rsid w:val="050365D4"/>
    <w:rsid w:val="0561306F"/>
    <w:rsid w:val="06157740"/>
    <w:rsid w:val="06447F80"/>
    <w:rsid w:val="071252E3"/>
    <w:rsid w:val="077B16CA"/>
    <w:rsid w:val="079F4185"/>
    <w:rsid w:val="08071774"/>
    <w:rsid w:val="088755FC"/>
    <w:rsid w:val="09193619"/>
    <w:rsid w:val="095D7A4E"/>
    <w:rsid w:val="096219AB"/>
    <w:rsid w:val="099A4AFC"/>
    <w:rsid w:val="09E77121"/>
    <w:rsid w:val="0A2B4CA6"/>
    <w:rsid w:val="0A6E2BA0"/>
    <w:rsid w:val="0A811B85"/>
    <w:rsid w:val="0A844B16"/>
    <w:rsid w:val="0A9500BC"/>
    <w:rsid w:val="0AD7778C"/>
    <w:rsid w:val="0B542CA2"/>
    <w:rsid w:val="0B5F0E2F"/>
    <w:rsid w:val="0B832594"/>
    <w:rsid w:val="0BB05447"/>
    <w:rsid w:val="0CA636BC"/>
    <w:rsid w:val="0CD66F7D"/>
    <w:rsid w:val="0CED29D8"/>
    <w:rsid w:val="0E311098"/>
    <w:rsid w:val="0E6A6E61"/>
    <w:rsid w:val="0EBB238A"/>
    <w:rsid w:val="0EFB3E67"/>
    <w:rsid w:val="0F6B7449"/>
    <w:rsid w:val="0FB67D01"/>
    <w:rsid w:val="0FFA5834"/>
    <w:rsid w:val="104A15AA"/>
    <w:rsid w:val="10631EAD"/>
    <w:rsid w:val="10B0451D"/>
    <w:rsid w:val="10E86858"/>
    <w:rsid w:val="10FF2AA3"/>
    <w:rsid w:val="11212F5D"/>
    <w:rsid w:val="11737AAC"/>
    <w:rsid w:val="117D2527"/>
    <w:rsid w:val="11B96A49"/>
    <w:rsid w:val="11CC3D39"/>
    <w:rsid w:val="11EB3C1D"/>
    <w:rsid w:val="11EB4177"/>
    <w:rsid w:val="122777D0"/>
    <w:rsid w:val="12D06C63"/>
    <w:rsid w:val="13012232"/>
    <w:rsid w:val="13195DB2"/>
    <w:rsid w:val="1355185D"/>
    <w:rsid w:val="13A508B4"/>
    <w:rsid w:val="13E121EF"/>
    <w:rsid w:val="13EE5D64"/>
    <w:rsid w:val="14747485"/>
    <w:rsid w:val="150A570B"/>
    <w:rsid w:val="1512373A"/>
    <w:rsid w:val="15CE2904"/>
    <w:rsid w:val="15D01AE6"/>
    <w:rsid w:val="166A74EB"/>
    <w:rsid w:val="172F1BB3"/>
    <w:rsid w:val="17941B5A"/>
    <w:rsid w:val="17A26044"/>
    <w:rsid w:val="184E3002"/>
    <w:rsid w:val="18894C2E"/>
    <w:rsid w:val="198E79BE"/>
    <w:rsid w:val="19A02E2D"/>
    <w:rsid w:val="19AA068C"/>
    <w:rsid w:val="1A0453C0"/>
    <w:rsid w:val="1AD405D3"/>
    <w:rsid w:val="1B20505E"/>
    <w:rsid w:val="1B7859A9"/>
    <w:rsid w:val="1B8C25A9"/>
    <w:rsid w:val="1C6F5CF9"/>
    <w:rsid w:val="1C861371"/>
    <w:rsid w:val="1C962D03"/>
    <w:rsid w:val="1D4318A4"/>
    <w:rsid w:val="1E263719"/>
    <w:rsid w:val="1E341283"/>
    <w:rsid w:val="1E6E4973"/>
    <w:rsid w:val="1E866643"/>
    <w:rsid w:val="1F6A6836"/>
    <w:rsid w:val="1FC33B45"/>
    <w:rsid w:val="1FE610DE"/>
    <w:rsid w:val="20905F73"/>
    <w:rsid w:val="20BF5F6D"/>
    <w:rsid w:val="21293789"/>
    <w:rsid w:val="21794FA4"/>
    <w:rsid w:val="219477BD"/>
    <w:rsid w:val="21A93E74"/>
    <w:rsid w:val="2237574B"/>
    <w:rsid w:val="22726A4A"/>
    <w:rsid w:val="227D7D7D"/>
    <w:rsid w:val="22882944"/>
    <w:rsid w:val="22A50547"/>
    <w:rsid w:val="2336368E"/>
    <w:rsid w:val="2369753A"/>
    <w:rsid w:val="246A5D51"/>
    <w:rsid w:val="24CF5FE0"/>
    <w:rsid w:val="24E27AA9"/>
    <w:rsid w:val="24FC3E68"/>
    <w:rsid w:val="250911BD"/>
    <w:rsid w:val="2509634C"/>
    <w:rsid w:val="2516165A"/>
    <w:rsid w:val="25D34CCE"/>
    <w:rsid w:val="262D7043"/>
    <w:rsid w:val="26633E37"/>
    <w:rsid w:val="26EA19F0"/>
    <w:rsid w:val="285D4460"/>
    <w:rsid w:val="2899660F"/>
    <w:rsid w:val="28AD61FA"/>
    <w:rsid w:val="28D25F6F"/>
    <w:rsid w:val="2901529B"/>
    <w:rsid w:val="29A42AF2"/>
    <w:rsid w:val="2A191616"/>
    <w:rsid w:val="2A865825"/>
    <w:rsid w:val="2A887A4D"/>
    <w:rsid w:val="2B7B3A2D"/>
    <w:rsid w:val="2B980BFF"/>
    <w:rsid w:val="2BF50155"/>
    <w:rsid w:val="2C282E30"/>
    <w:rsid w:val="2C511627"/>
    <w:rsid w:val="2CA72BF7"/>
    <w:rsid w:val="2CFC13DA"/>
    <w:rsid w:val="2D527717"/>
    <w:rsid w:val="2D8D4566"/>
    <w:rsid w:val="2DF8604E"/>
    <w:rsid w:val="2E141A23"/>
    <w:rsid w:val="2E292040"/>
    <w:rsid w:val="2E2B4095"/>
    <w:rsid w:val="2E970DB7"/>
    <w:rsid w:val="2F0D296F"/>
    <w:rsid w:val="2F383ADF"/>
    <w:rsid w:val="2FBF4150"/>
    <w:rsid w:val="2FF6317F"/>
    <w:rsid w:val="302A1296"/>
    <w:rsid w:val="305E4A0D"/>
    <w:rsid w:val="30F2664F"/>
    <w:rsid w:val="3122219F"/>
    <w:rsid w:val="31B22A2D"/>
    <w:rsid w:val="31FA3267"/>
    <w:rsid w:val="329541BA"/>
    <w:rsid w:val="32EC1EDA"/>
    <w:rsid w:val="33825E92"/>
    <w:rsid w:val="33863D91"/>
    <w:rsid w:val="3395767C"/>
    <w:rsid w:val="34384BE1"/>
    <w:rsid w:val="343C70D2"/>
    <w:rsid w:val="347F3B6B"/>
    <w:rsid w:val="34922A45"/>
    <w:rsid w:val="34D07D63"/>
    <w:rsid w:val="34E11D68"/>
    <w:rsid w:val="34EC674D"/>
    <w:rsid w:val="35AF1BA2"/>
    <w:rsid w:val="362229C7"/>
    <w:rsid w:val="36653A63"/>
    <w:rsid w:val="366C0493"/>
    <w:rsid w:val="368D2A1F"/>
    <w:rsid w:val="37386359"/>
    <w:rsid w:val="37691A62"/>
    <w:rsid w:val="37BC3AAD"/>
    <w:rsid w:val="37C14FCD"/>
    <w:rsid w:val="37EC402A"/>
    <w:rsid w:val="383565DF"/>
    <w:rsid w:val="38B355EC"/>
    <w:rsid w:val="392E2D23"/>
    <w:rsid w:val="393E0D7D"/>
    <w:rsid w:val="394C67E5"/>
    <w:rsid w:val="39697C17"/>
    <w:rsid w:val="3A1B69DB"/>
    <w:rsid w:val="3A24263D"/>
    <w:rsid w:val="3A573856"/>
    <w:rsid w:val="3A77394A"/>
    <w:rsid w:val="3A841790"/>
    <w:rsid w:val="3AC02B1D"/>
    <w:rsid w:val="3BBF7338"/>
    <w:rsid w:val="3BD37019"/>
    <w:rsid w:val="3BDF531A"/>
    <w:rsid w:val="3C006067"/>
    <w:rsid w:val="3C6968DE"/>
    <w:rsid w:val="3C6B6CDD"/>
    <w:rsid w:val="3D2C6513"/>
    <w:rsid w:val="3D4F3F78"/>
    <w:rsid w:val="3DF10A23"/>
    <w:rsid w:val="3E2A5557"/>
    <w:rsid w:val="3E5018A0"/>
    <w:rsid w:val="3E5B1873"/>
    <w:rsid w:val="3E7D277F"/>
    <w:rsid w:val="3EE403A3"/>
    <w:rsid w:val="3EE64C0A"/>
    <w:rsid w:val="3F734F56"/>
    <w:rsid w:val="3FDF7917"/>
    <w:rsid w:val="402333E1"/>
    <w:rsid w:val="40674BB4"/>
    <w:rsid w:val="40744A0D"/>
    <w:rsid w:val="41246256"/>
    <w:rsid w:val="41287B93"/>
    <w:rsid w:val="412D6DA5"/>
    <w:rsid w:val="418E6F9F"/>
    <w:rsid w:val="419C44F6"/>
    <w:rsid w:val="41C4764F"/>
    <w:rsid w:val="42102F49"/>
    <w:rsid w:val="421F6AC3"/>
    <w:rsid w:val="426C076A"/>
    <w:rsid w:val="4270410B"/>
    <w:rsid w:val="42A72163"/>
    <w:rsid w:val="43974FB4"/>
    <w:rsid w:val="43BA305D"/>
    <w:rsid w:val="440610F0"/>
    <w:rsid w:val="44CF11C2"/>
    <w:rsid w:val="453D1168"/>
    <w:rsid w:val="45630335"/>
    <w:rsid w:val="45795103"/>
    <w:rsid w:val="46181BFD"/>
    <w:rsid w:val="46382B42"/>
    <w:rsid w:val="464237EF"/>
    <w:rsid w:val="467E0CB7"/>
    <w:rsid w:val="46AD2148"/>
    <w:rsid w:val="46D2430D"/>
    <w:rsid w:val="4741126A"/>
    <w:rsid w:val="47AD2C07"/>
    <w:rsid w:val="47D60D6F"/>
    <w:rsid w:val="47EB6AE1"/>
    <w:rsid w:val="48437EE4"/>
    <w:rsid w:val="48A82164"/>
    <w:rsid w:val="49AF2CBB"/>
    <w:rsid w:val="4A12713F"/>
    <w:rsid w:val="4A1A7753"/>
    <w:rsid w:val="4AD75A8A"/>
    <w:rsid w:val="4AE301C1"/>
    <w:rsid w:val="4AF837BA"/>
    <w:rsid w:val="4B1E7B2F"/>
    <w:rsid w:val="4B271527"/>
    <w:rsid w:val="4B3F39AD"/>
    <w:rsid w:val="4B990E8E"/>
    <w:rsid w:val="4C160267"/>
    <w:rsid w:val="4C2D4456"/>
    <w:rsid w:val="4C5D270C"/>
    <w:rsid w:val="4C952783"/>
    <w:rsid w:val="4CC25244"/>
    <w:rsid w:val="4CE501F4"/>
    <w:rsid w:val="4D745A42"/>
    <w:rsid w:val="4D7757A3"/>
    <w:rsid w:val="4D875E52"/>
    <w:rsid w:val="4D925BA8"/>
    <w:rsid w:val="4ED3755B"/>
    <w:rsid w:val="4FA42CE1"/>
    <w:rsid w:val="4FFB7AC1"/>
    <w:rsid w:val="5037318F"/>
    <w:rsid w:val="503F03B0"/>
    <w:rsid w:val="5061226D"/>
    <w:rsid w:val="50E54197"/>
    <w:rsid w:val="51330FA5"/>
    <w:rsid w:val="51567316"/>
    <w:rsid w:val="518E54C9"/>
    <w:rsid w:val="51AF2B71"/>
    <w:rsid w:val="52851111"/>
    <w:rsid w:val="52D33E1B"/>
    <w:rsid w:val="53A10D31"/>
    <w:rsid w:val="53AA12AB"/>
    <w:rsid w:val="54830EF4"/>
    <w:rsid w:val="54BB6A0E"/>
    <w:rsid w:val="54E01688"/>
    <w:rsid w:val="553A4BAF"/>
    <w:rsid w:val="55580A6E"/>
    <w:rsid w:val="555B4067"/>
    <w:rsid w:val="55A904E8"/>
    <w:rsid w:val="55C3555E"/>
    <w:rsid w:val="564F4374"/>
    <w:rsid w:val="567534E1"/>
    <w:rsid w:val="56F5298B"/>
    <w:rsid w:val="573129BA"/>
    <w:rsid w:val="576968C9"/>
    <w:rsid w:val="577A069D"/>
    <w:rsid w:val="57863DCF"/>
    <w:rsid w:val="57BD4D8B"/>
    <w:rsid w:val="57D347CD"/>
    <w:rsid w:val="58C24B8C"/>
    <w:rsid w:val="58F61EF4"/>
    <w:rsid w:val="59040706"/>
    <w:rsid w:val="59C949E7"/>
    <w:rsid w:val="59D7057B"/>
    <w:rsid w:val="59E95572"/>
    <w:rsid w:val="5A553C3E"/>
    <w:rsid w:val="5A5A32F6"/>
    <w:rsid w:val="5A665955"/>
    <w:rsid w:val="5A681A2B"/>
    <w:rsid w:val="5AF9782B"/>
    <w:rsid w:val="5B367491"/>
    <w:rsid w:val="5B5D1C69"/>
    <w:rsid w:val="5C1A7760"/>
    <w:rsid w:val="5C3C5105"/>
    <w:rsid w:val="5C402E20"/>
    <w:rsid w:val="5C4A279C"/>
    <w:rsid w:val="5C6503B2"/>
    <w:rsid w:val="5C9B0108"/>
    <w:rsid w:val="5D1D27D2"/>
    <w:rsid w:val="5D7A2427"/>
    <w:rsid w:val="5E4340CC"/>
    <w:rsid w:val="5EA77234"/>
    <w:rsid w:val="5EC206CE"/>
    <w:rsid w:val="5EE13099"/>
    <w:rsid w:val="5F4226EA"/>
    <w:rsid w:val="5F9366E0"/>
    <w:rsid w:val="5FFE3D5A"/>
    <w:rsid w:val="6066361E"/>
    <w:rsid w:val="60F71091"/>
    <w:rsid w:val="60FF2CEF"/>
    <w:rsid w:val="614A3F6D"/>
    <w:rsid w:val="618D7B27"/>
    <w:rsid w:val="625A6872"/>
    <w:rsid w:val="625F0AF5"/>
    <w:rsid w:val="62D84A17"/>
    <w:rsid w:val="62E439A7"/>
    <w:rsid w:val="63447FD8"/>
    <w:rsid w:val="636B2F42"/>
    <w:rsid w:val="645A1F7F"/>
    <w:rsid w:val="64A371F1"/>
    <w:rsid w:val="64A94861"/>
    <w:rsid w:val="64C00225"/>
    <w:rsid w:val="64DE40B3"/>
    <w:rsid w:val="65DE1441"/>
    <w:rsid w:val="66246237"/>
    <w:rsid w:val="66CC0506"/>
    <w:rsid w:val="66DC3113"/>
    <w:rsid w:val="6753484A"/>
    <w:rsid w:val="67713655"/>
    <w:rsid w:val="67850195"/>
    <w:rsid w:val="67B8212C"/>
    <w:rsid w:val="67DD4983"/>
    <w:rsid w:val="67EC3AA3"/>
    <w:rsid w:val="68092C7D"/>
    <w:rsid w:val="686E1343"/>
    <w:rsid w:val="688C2158"/>
    <w:rsid w:val="693962D8"/>
    <w:rsid w:val="6976681A"/>
    <w:rsid w:val="69961F45"/>
    <w:rsid w:val="69C3741C"/>
    <w:rsid w:val="6AAC7EFF"/>
    <w:rsid w:val="6B3E7163"/>
    <w:rsid w:val="6B4C2CAC"/>
    <w:rsid w:val="6C286EE9"/>
    <w:rsid w:val="6C9D42BA"/>
    <w:rsid w:val="6CFE527D"/>
    <w:rsid w:val="6D1A024D"/>
    <w:rsid w:val="6DF95A46"/>
    <w:rsid w:val="6E7B0141"/>
    <w:rsid w:val="6EC07ACF"/>
    <w:rsid w:val="6EC85C73"/>
    <w:rsid w:val="6F413E86"/>
    <w:rsid w:val="704B26AF"/>
    <w:rsid w:val="70A72BE2"/>
    <w:rsid w:val="70E92D0B"/>
    <w:rsid w:val="71776F0B"/>
    <w:rsid w:val="7188309C"/>
    <w:rsid w:val="724401B7"/>
    <w:rsid w:val="728776C3"/>
    <w:rsid w:val="72AF33F9"/>
    <w:rsid w:val="72DB401F"/>
    <w:rsid w:val="72E3362B"/>
    <w:rsid w:val="730906FF"/>
    <w:rsid w:val="73C4433E"/>
    <w:rsid w:val="75112183"/>
    <w:rsid w:val="756E5AA7"/>
    <w:rsid w:val="75C1747A"/>
    <w:rsid w:val="768A3F1D"/>
    <w:rsid w:val="76FD69C1"/>
    <w:rsid w:val="76FE0095"/>
    <w:rsid w:val="779D5DC0"/>
    <w:rsid w:val="77FC457C"/>
    <w:rsid w:val="78334C13"/>
    <w:rsid w:val="78792F21"/>
    <w:rsid w:val="788F0E8C"/>
    <w:rsid w:val="78A8659E"/>
    <w:rsid w:val="792B724B"/>
    <w:rsid w:val="794B21E0"/>
    <w:rsid w:val="7A0D7985"/>
    <w:rsid w:val="7A5E74AE"/>
    <w:rsid w:val="7AB53973"/>
    <w:rsid w:val="7AB66493"/>
    <w:rsid w:val="7ACA6FAE"/>
    <w:rsid w:val="7AD54AE1"/>
    <w:rsid w:val="7B2B09B0"/>
    <w:rsid w:val="7B6A6951"/>
    <w:rsid w:val="7B9E137E"/>
    <w:rsid w:val="7C1B6F57"/>
    <w:rsid w:val="7C222396"/>
    <w:rsid w:val="7D23134A"/>
    <w:rsid w:val="7D400982"/>
    <w:rsid w:val="7D4E53D3"/>
    <w:rsid w:val="7D745A8E"/>
    <w:rsid w:val="7D761E81"/>
    <w:rsid w:val="7DA82F83"/>
    <w:rsid w:val="7E0B5ECB"/>
    <w:rsid w:val="7E2664FB"/>
    <w:rsid w:val="7EBE66C9"/>
    <w:rsid w:val="7EC34E99"/>
    <w:rsid w:val="7EDB37C9"/>
    <w:rsid w:val="7F5D319E"/>
    <w:rsid w:val="7FAD2905"/>
    <w:rsid w:val="7FCB4018"/>
    <w:rsid w:val="7FE05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eastAsia="宋体" w:cs="黑体"/>
      <w:b/>
      <w:bCs/>
      <w:sz w:val="32"/>
      <w:szCs w:val="32"/>
    </w:rPr>
  </w:style>
  <w:style w:type="character" w:default="1" w:styleId="14">
    <w:name w:val="Default Paragraph Font"/>
    <w:link w:val="15"/>
    <w:semiHidden/>
    <w:qFormat/>
    <w:uiPriority w:val="0"/>
    <w:rPr>
      <w:kern w:val="24"/>
      <w:sz w:val="24"/>
      <w:szCs w:val="24"/>
    </w:rPr>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5">
    <w:name w:val="Body Text First Indent"/>
    <w:basedOn w:val="6"/>
    <w:qFormat/>
    <w:uiPriority w:val="0"/>
    <w:pPr>
      <w:ind w:firstLine="420" w:firstLineChars="100"/>
    </w:pPr>
  </w:style>
  <w:style w:type="paragraph" w:styleId="6">
    <w:name w:val="Body Text"/>
    <w:basedOn w:val="1"/>
    <w:qFormat/>
    <w:uiPriority w:val="0"/>
    <w:pPr>
      <w:spacing w:after="120" w:afterLines="0" w:afterAutospacing="0"/>
    </w:pPr>
    <w:rPr>
      <w:rFonts w:ascii="Calibri" w:hAnsi="Calibri" w:cs="Times New Roman"/>
      <w:szCs w:val="24"/>
      <w:lang w:bidi="ar-SA"/>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semiHidden/>
    <w:qFormat/>
    <w:uiPriority w:val="0"/>
    <w:pPr>
      <w:snapToGrid w:val="0"/>
      <w:jc w:val="left"/>
    </w:pPr>
    <w:rPr>
      <w:sz w:val="18"/>
      <w:szCs w:val="18"/>
    </w:rPr>
  </w:style>
  <w:style w:type="paragraph" w:styleId="11">
    <w:name w:val="Body Text Indent 3"/>
    <w:basedOn w:val="1"/>
    <w:qFormat/>
    <w:uiPriority w:val="0"/>
    <w:pPr>
      <w:spacing w:line="360" w:lineRule="auto"/>
      <w:ind w:firstLine="600" w:firstLineChars="200"/>
    </w:pPr>
    <w:rPr>
      <w:rFonts w:eastAsia="仿宋_GB2312"/>
      <w:sz w:val="30"/>
    </w:rPr>
  </w:style>
  <w:style w:type="paragraph" w:styleId="12">
    <w:name w:val="HTML Preformatted"/>
    <w:basedOn w:val="1"/>
    <w:unhideWhenUsed/>
    <w:qFormat/>
    <w:uiPriority w:val="99"/>
    <w:rPr>
      <w:rFonts w:ascii="Courier New" w:hAnsi="Courier New" w:cs="Courier New"/>
      <w:sz w:val="20"/>
      <w:szCs w:val="20"/>
    </w:rPr>
  </w:style>
  <w:style w:type="paragraph" w:styleId="13">
    <w:name w:val="Normal (Web)"/>
    <w:basedOn w:val="1"/>
    <w:qFormat/>
    <w:uiPriority w:val="0"/>
    <w:rPr>
      <w:rFonts w:ascii="Times New Roman" w:hAnsi="Times New Roman" w:eastAsia="宋体" w:cs="Times New Roman"/>
      <w:sz w:val="24"/>
      <w:lang w:val="en-US" w:eastAsia="zh-CN" w:bidi="ar-SA"/>
    </w:rPr>
  </w:style>
  <w:style w:type="paragraph" w:customStyle="1" w:styleId="15">
    <w:name w:val="Char Char Char Char Char Char Char"/>
    <w:basedOn w:val="1"/>
    <w:link w:val="14"/>
    <w:qFormat/>
    <w:uiPriority w:val="0"/>
    <w:pPr>
      <w:widowControl/>
      <w:spacing w:after="160" w:afterLines="0" w:line="240" w:lineRule="exact"/>
      <w:jc w:val="left"/>
    </w:pPr>
  </w:style>
  <w:style w:type="character" w:styleId="16">
    <w:name w:val="page number"/>
    <w:basedOn w:val="14"/>
    <w:qFormat/>
    <w:uiPriority w:val="0"/>
  </w:style>
  <w:style w:type="character" w:styleId="17">
    <w:name w:val="Emphasis"/>
    <w:basedOn w:val="14"/>
    <w:qFormat/>
    <w:uiPriority w:val="0"/>
    <w:rPr>
      <w:i/>
      <w:iCs/>
    </w:rPr>
  </w:style>
  <w:style w:type="character" w:styleId="18">
    <w:name w:val="Hyperlink"/>
    <w:basedOn w:val="14"/>
    <w:qFormat/>
    <w:uiPriority w:val="0"/>
    <w:rPr>
      <w:color w:val="000000"/>
      <w:u w:val="single"/>
    </w:rPr>
  </w:style>
  <w:style w:type="character" w:styleId="19">
    <w:name w:val="annotation reference"/>
    <w:qFormat/>
    <w:uiPriority w:val="0"/>
    <w:rPr>
      <w:sz w:val="21"/>
      <w:szCs w:val="21"/>
    </w:rPr>
  </w:style>
  <w:style w:type="character" w:styleId="20">
    <w:name w:val="footnote reference"/>
    <w:basedOn w:val="14"/>
    <w:semiHidden/>
    <w:qFormat/>
    <w:uiPriority w:val="0"/>
    <w:rPr>
      <w:vertAlign w:val="superscript"/>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 Char Char Char Char Char Char"/>
    <w:basedOn w:val="1"/>
    <w:link w:val="14"/>
    <w:qFormat/>
    <w:uiPriority w:val="0"/>
  </w:style>
  <w:style w:type="paragraph" w:customStyle="1" w:styleId="24">
    <w:name w:val="_Style 10"/>
    <w:basedOn w:val="1"/>
    <w:link w:val="14"/>
    <w:qFormat/>
    <w:uiPriority w:val="0"/>
    <w:pPr>
      <w:tabs>
        <w:tab w:val="left" w:pos="425"/>
      </w:tabs>
      <w:ind w:left="425" w:hanging="425"/>
    </w:pPr>
    <w:rPr>
      <w:kern w:val="24"/>
      <w:sz w:val="24"/>
      <w:szCs w:val="24"/>
    </w:rPr>
  </w:style>
  <w:style w:type="paragraph" w:customStyle="1" w:styleId="25">
    <w:name w:val="Char Char"/>
    <w:basedOn w:val="1"/>
    <w:link w:val="14"/>
    <w:qFormat/>
    <w:uiPriority w:val="0"/>
    <w:pPr>
      <w:widowControl/>
      <w:spacing w:after="160" w:afterLines="0" w:line="240" w:lineRule="exact"/>
      <w:jc w:val="left"/>
    </w:pPr>
  </w:style>
  <w:style w:type="paragraph" w:customStyle="1" w:styleId="26">
    <w:name w:val="p0"/>
    <w:basedOn w:val="1"/>
    <w:qFormat/>
    <w:uiPriority w:val="0"/>
    <w:pPr>
      <w:widowControl/>
    </w:pPr>
    <w:rPr>
      <w:kern w:val="0"/>
      <w:szCs w:val="21"/>
    </w:rPr>
  </w:style>
  <w:style w:type="paragraph" w:customStyle="1" w:styleId="27">
    <w:name w:val="_Style 1"/>
    <w:basedOn w:val="1"/>
    <w:qFormat/>
    <w:uiPriority w:val="34"/>
    <w:pPr>
      <w:ind w:left="720"/>
      <w:contextualSpacing/>
    </w:pPr>
  </w:style>
  <w:style w:type="paragraph" w:customStyle="1" w:styleId="28">
    <w:name w:val="List Paragraph"/>
    <w:basedOn w:val="1"/>
    <w:qFormat/>
    <w:uiPriority w:val="34"/>
    <w:pPr>
      <w:ind w:left="720"/>
      <w:contextualSpacing/>
    </w:pPr>
  </w:style>
  <w:style w:type="character" w:customStyle="1" w:styleId="29">
    <w:name w:val="font11"/>
    <w:basedOn w:val="14"/>
    <w:qFormat/>
    <w:uiPriority w:val="0"/>
    <w:rPr>
      <w:rFonts w:hint="default" w:ascii="方正小标宋_GBK" w:hAnsi="方正小标宋_GBK" w:eastAsia="方正小标宋_GBK" w:cs="方正小标宋_GBK"/>
      <w:color w:val="000000"/>
      <w:sz w:val="44"/>
      <w:szCs w:val="44"/>
      <w:u w:val="none"/>
    </w:rPr>
  </w:style>
  <w:style w:type="character" w:customStyle="1" w:styleId="30">
    <w:name w:val="font21"/>
    <w:basedOn w:val="14"/>
    <w:qFormat/>
    <w:uiPriority w:val="0"/>
    <w:rPr>
      <w:rFonts w:hint="default" w:ascii="方正黑体_GBK" w:hAnsi="方正黑体_GBK" w:eastAsia="方正黑体_GBK" w:cs="方正黑体_GBK"/>
      <w:color w:val="000000"/>
      <w:sz w:val="32"/>
      <w:szCs w:val="32"/>
      <w:u w:val="none"/>
    </w:rPr>
  </w:style>
  <w:style w:type="character" w:customStyle="1" w:styleId="31">
    <w:name w:val="font31"/>
    <w:basedOn w:val="14"/>
    <w:qFormat/>
    <w:uiPriority w:val="0"/>
    <w:rPr>
      <w:rFonts w:ascii="方正仿宋_GBK" w:hAnsi="方正仿宋_GBK" w:eastAsia="方正仿宋_GBK" w:cs="方正仿宋_GBK"/>
      <w:color w:val="000000"/>
      <w:sz w:val="28"/>
      <w:szCs w:val="28"/>
      <w:u w:val="none"/>
    </w:rPr>
  </w:style>
  <w:style w:type="character" w:customStyle="1" w:styleId="32">
    <w:name w:val="font61"/>
    <w:basedOn w:val="14"/>
    <w:qFormat/>
    <w:uiPriority w:val="0"/>
    <w:rPr>
      <w:rFonts w:hint="default" w:ascii="Times New Roman" w:hAnsi="Times New Roman" w:cs="Times New Roman"/>
      <w:color w:val="000000"/>
      <w:sz w:val="28"/>
      <w:szCs w:val="28"/>
      <w:u w:val="none"/>
    </w:rPr>
  </w:style>
  <w:style w:type="character" w:customStyle="1" w:styleId="33">
    <w:name w:val="font91"/>
    <w:basedOn w:val="14"/>
    <w:qFormat/>
    <w:uiPriority w:val="0"/>
    <w:rPr>
      <w:rFonts w:hint="eastAsia" w:ascii="宋体" w:hAnsi="宋体" w:eastAsia="宋体" w:cs="宋体"/>
      <w:b/>
      <w:color w:val="000000"/>
      <w:sz w:val="28"/>
      <w:szCs w:val="28"/>
      <w:u w:val="none"/>
    </w:rPr>
  </w:style>
  <w:style w:type="character" w:customStyle="1" w:styleId="34">
    <w:name w:val="font81"/>
    <w:basedOn w:val="14"/>
    <w:qFormat/>
    <w:uiPriority w:val="0"/>
    <w:rPr>
      <w:rFonts w:hint="eastAsia" w:ascii="宋体" w:hAnsi="宋体" w:eastAsia="宋体" w:cs="宋体"/>
      <w:color w:val="000000"/>
      <w:sz w:val="28"/>
      <w:szCs w:val="28"/>
      <w:u w:val="none"/>
    </w:rPr>
  </w:style>
  <w:style w:type="character" w:customStyle="1" w:styleId="35">
    <w:name w:val="font71"/>
    <w:basedOn w:val="14"/>
    <w:qFormat/>
    <w:uiPriority w:val="0"/>
    <w:rPr>
      <w:rFonts w:hint="default" w:ascii="Times New Roman" w:hAnsi="Times New Roman" w:cs="Times New Roman"/>
      <w:color w:val="000000"/>
      <w:sz w:val="28"/>
      <w:szCs w:val="28"/>
      <w:u w:val="none"/>
    </w:rPr>
  </w:style>
  <w:style w:type="paragraph" w:customStyle="1" w:styleId="36">
    <w:name w:val="正文1"/>
    <w:basedOn w:val="37"/>
    <w:qFormat/>
    <w:uiPriority w:val="0"/>
    <w:pPr>
      <w:widowControl/>
    </w:pPr>
    <w:rPr>
      <w:rFonts w:ascii="Times New Roman" w:hAnsi="Times New Roman" w:eastAsia="Times New Roman"/>
      <w:kern w:val="0"/>
      <w:szCs w:val="20"/>
      <w:lang w:eastAsia="en-US"/>
    </w:rPr>
  </w:style>
  <w:style w:type="paragraph" w:customStyle="1" w:styleId="37">
    <w:name w:val="[Normal]"/>
    <w:qFormat/>
    <w:uiPriority w:val="0"/>
    <w:rPr>
      <w:rFonts w:ascii="宋体" w:hAnsi="宋体" w:eastAsia="宋体" w:cs="Times New Roman"/>
      <w:sz w:val="24"/>
      <w:lang w:val="en-US" w:eastAsia="en-US" w:bidi="ar-SA"/>
    </w:rPr>
  </w:style>
  <w:style w:type="paragraph" w:customStyle="1" w:styleId="38">
    <w:name w:val="正文 New"/>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列出段落1"/>
    <w:basedOn w:val="1"/>
    <w:qFormat/>
    <w:uiPriority w:val="34"/>
    <w:pPr>
      <w:spacing w:line="360" w:lineRule="auto"/>
      <w:ind w:firstLine="420" w:firstLineChars="200"/>
    </w:pPr>
    <w:rPr>
      <w:rFonts w:eastAsia="彩虹粗仿宋"/>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2019-01-28T07:33:00Z</dcterms:created>
  <dc:creator>周景宜</dc:creator>
  <cp:lastModifiedBy>Cello</cp:lastModifiedBy>
  <cp:lastPrinted>2020-01-03T08:10:00Z</cp:lastPrinted>
  <dcterms:modified xsi:type="dcterms:W3CDTF">2020-12-28T02:10:25Z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